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760" w:lineRule="exact"/>
        <w:jc w:val="center"/>
        <w:rPr>
          <w:rFonts w:hint="eastAsia" w:ascii="方正小标宋简体" w:hAnsi="宋体" w:eastAsia="方正小标宋简体" w:cs="Tahoma"/>
          <w:kern w:val="0"/>
          <w:sz w:val="44"/>
          <w:szCs w:val="44"/>
          <w:shd w:val="clear" w:color="auto" w:fill="FFFFFF"/>
        </w:rPr>
      </w:pPr>
      <w:r>
        <w:rPr>
          <w:rFonts w:hint="eastAsia" w:ascii="方正小标宋简体" w:hAnsi="宋体" w:eastAsia="方正小标宋简体" w:cs="Tahoma"/>
          <w:kern w:val="0"/>
          <w:sz w:val="44"/>
          <w:szCs w:val="44"/>
          <w:shd w:val="clear" w:color="auto" w:fill="FFFFFF"/>
        </w:rPr>
        <w:t>枣庄仲裁委员会秘书处</w:t>
      </w:r>
    </w:p>
    <w:p>
      <w:pPr>
        <w:spacing w:line="760" w:lineRule="exact"/>
        <w:jc w:val="center"/>
        <w:rPr>
          <w:rFonts w:hint="eastAsia" w:ascii="方正小标宋简体" w:hAnsi="宋体" w:eastAsia="方正小标宋简体" w:cs="Tahoma"/>
          <w:kern w:val="0"/>
          <w:sz w:val="44"/>
          <w:szCs w:val="44"/>
          <w:shd w:val="clear" w:color="auto" w:fill="FFFFFF"/>
          <w:lang w:eastAsia="zh-CN"/>
        </w:rPr>
      </w:pPr>
      <w:r>
        <w:rPr>
          <w:rFonts w:hint="eastAsia" w:ascii="方正小标宋简体" w:hAnsi="宋体" w:eastAsia="方正小标宋简体" w:cs="Tahoma"/>
          <w:kern w:val="0"/>
          <w:sz w:val="44"/>
          <w:szCs w:val="44"/>
          <w:shd w:val="clear" w:color="auto" w:fill="FFFFFF"/>
        </w:rPr>
        <w:t>机关党建品牌创建</w:t>
      </w:r>
      <w:r>
        <w:rPr>
          <w:rFonts w:hint="eastAsia" w:ascii="方正小标宋简体" w:hAnsi="宋体" w:eastAsia="方正小标宋简体" w:cs="Tahoma"/>
          <w:kern w:val="0"/>
          <w:sz w:val="44"/>
          <w:szCs w:val="44"/>
          <w:shd w:val="clear" w:color="auto" w:fill="FFFFFF"/>
          <w:lang w:eastAsia="zh-CN"/>
        </w:rPr>
        <w:t>工作申报材料</w:t>
      </w:r>
    </w:p>
    <w:p>
      <w:pPr>
        <w:spacing w:line="760" w:lineRule="exact"/>
        <w:jc w:val="left"/>
        <w:rPr>
          <w:rFonts w:hint="eastAsia" w:ascii="仿宋_GB2312" w:hAnsi="仿宋_GB2312" w:eastAsia="仿宋_GB2312" w:cs="仿宋_GB2312"/>
          <w:kern w:val="0"/>
          <w:sz w:val="32"/>
          <w:szCs w:val="32"/>
          <w:shd w:val="clear" w:color="auto" w:fill="FFFFFF"/>
        </w:rPr>
      </w:pPr>
    </w:p>
    <w:p>
      <w:pPr>
        <w:spacing w:line="560" w:lineRule="exact"/>
        <w:ind w:firstLine="640" w:firstLineChars="200"/>
        <w:rPr>
          <w:rFonts w:hint="eastAsia" w:ascii="仿宋_GB2312" w:eastAsia="仿宋_GB2312"/>
          <w:color w:val="000000" w:themeColor="text1"/>
          <w:sz w:val="32"/>
          <w:szCs w:val="32"/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</w:rPr>
        <w:t>1.品牌名称：</w:t>
      </w:r>
      <w:r>
        <w:rPr>
          <w:rFonts w:hint="eastAsia" w:ascii="仿宋_GB2312" w:eastAsia="仿宋_GB2312"/>
          <w:color w:val="000000" w:themeColor="text1"/>
          <w:sz w:val="32"/>
          <w:szCs w:val="32"/>
        </w:rPr>
        <w:t>“党建引领</w:t>
      </w:r>
      <w:r>
        <w:rPr>
          <w:rFonts w:hint="eastAsia" w:ascii="仿宋_GB2312" w:eastAsia="仿宋_GB2312"/>
          <w:color w:val="000000" w:themeColor="text1"/>
          <w:sz w:val="32"/>
          <w:szCs w:val="32"/>
          <w:lang w:val="en-US" w:eastAsia="zh-CN"/>
        </w:rPr>
        <w:t xml:space="preserve">  阳光</w:t>
      </w:r>
      <w:r>
        <w:rPr>
          <w:rFonts w:hint="eastAsia" w:ascii="仿宋_GB2312" w:eastAsia="仿宋_GB2312"/>
          <w:color w:val="000000" w:themeColor="text1"/>
          <w:sz w:val="32"/>
          <w:szCs w:val="32"/>
        </w:rPr>
        <w:t xml:space="preserve">仲裁” </w:t>
      </w:r>
    </w:p>
    <w:p>
      <w:pPr>
        <w:numPr>
          <w:ilvl w:val="0"/>
          <w:numId w:val="0"/>
        </w:numPr>
        <w:spacing w:line="560" w:lineRule="exact"/>
        <w:ind w:firstLine="640" w:firstLineChars="200"/>
        <w:rPr>
          <w:rFonts w:hint="eastAsia" w:ascii="仿宋_GB2312" w:eastAsia="仿宋_GB2312"/>
          <w:color w:val="000000" w:themeColor="text1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</w:rPr>
        <w:t>2.品牌标识：</w:t>
      </w:r>
    </w:p>
    <w:p>
      <w:pPr>
        <w:numPr>
          <w:ilvl w:val="0"/>
          <w:numId w:val="0"/>
        </w:numPr>
        <w:spacing w:line="560" w:lineRule="exact"/>
        <w:ind w:firstLine="640" w:firstLineChars="200"/>
        <w:rPr>
          <w:rFonts w:hint="eastAsia" w:ascii="仿宋_GB2312" w:eastAsia="仿宋_GB2312"/>
          <w:color w:val="000000" w:themeColor="text1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spacing w:line="560" w:lineRule="exact"/>
        <w:ind w:firstLine="640" w:firstLineChars="200"/>
        <w:rPr>
          <w:rFonts w:hint="eastAsia" w:ascii="仿宋_GB2312" w:eastAsia="仿宋_GB2312"/>
          <w:color w:val="000000" w:themeColor="text1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spacing w:line="560" w:lineRule="exact"/>
        <w:ind w:firstLine="640" w:firstLineChars="200"/>
        <w:rPr>
          <w:rFonts w:hint="eastAsia" w:ascii="仿宋_GB2312" w:eastAsia="仿宋_GB2312"/>
          <w:color w:val="000000" w:themeColor="text1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spacing w:line="560" w:lineRule="exact"/>
        <w:ind w:firstLine="640" w:firstLineChars="200"/>
        <w:rPr>
          <w:rFonts w:hint="eastAsia" w:ascii="仿宋_GB2312" w:eastAsia="仿宋_GB2312"/>
          <w:color w:val="000000" w:themeColor="text1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spacing w:line="560" w:lineRule="exact"/>
        <w:ind w:firstLine="420" w:firstLineChars="200"/>
        <w:rPr>
          <w:rFonts w:hint="default" w:ascii="仿宋_GB2312" w:eastAsia="仿宋_GB2312"/>
          <w:color w:val="000000" w:themeColor="text1"/>
          <w:sz w:val="32"/>
          <w:szCs w:val="32"/>
          <w:lang w:val="en-US" w:eastAsia="zh-CN"/>
        </w:rPr>
      </w:pPr>
      <w:r>
        <w:rPr>
          <w:rFonts w:hint="eastAsia" w:eastAsiaTheme="minorEastAsia"/>
          <w:color w:val="000000" w:themeColor="text1"/>
          <w:lang w:eastAsia="zh-CN"/>
        </w:rPr>
        <w:drawing>
          <wp:anchor distT="0" distB="0" distL="114935" distR="114935" simplePos="0" relativeHeight="251658240" behindDoc="0" locked="0" layoutInCell="1" allowOverlap="1">
            <wp:simplePos x="0" y="0"/>
            <wp:positionH relativeFrom="column">
              <wp:posOffset>266700</wp:posOffset>
            </wp:positionH>
            <wp:positionV relativeFrom="paragraph">
              <wp:posOffset>-1220470</wp:posOffset>
            </wp:positionV>
            <wp:extent cx="1591945" cy="1489710"/>
            <wp:effectExtent l="0" t="0" r="8255" b="15240"/>
            <wp:wrapSquare wrapText="bothSides"/>
            <wp:docPr id="1" name="图片 1" descr="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LOGO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591945" cy="1489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numPr>
          <w:ilvl w:val="0"/>
          <w:numId w:val="0"/>
        </w:numPr>
        <w:spacing w:line="560" w:lineRule="exact"/>
        <w:ind w:firstLine="640" w:firstLineChars="200"/>
        <w:rPr>
          <w:rFonts w:hint="default" w:ascii="仿宋_GB2312" w:eastAsia="仿宋_GB2312"/>
          <w:color w:val="000000" w:themeColor="text1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</w:rPr>
        <w:t>3.标识诠释：</w:t>
      </w:r>
      <w:r>
        <w:rPr>
          <w:rFonts w:hint="eastAsia" w:ascii="仿宋_GB2312" w:hAnsi="仿宋_GB2312" w:eastAsia="仿宋_GB2312" w:cs="仿宋_GB2312"/>
          <w:sz w:val="32"/>
          <w:szCs w:val="32"/>
          <w:vertAlign w:val="baseline"/>
          <w:lang w:val="en-US" w:eastAsia="zh-CN"/>
        </w:rPr>
        <w:t>枣庄仲裁委员会秘书处“党建引领 阳光仲裁”党建品牌标识以党旗、枣庄仲裁委员会会标、由“仲裁”首字母“ZC”变形而成的凤凰及金黄太阳色组成。标识体现了枣庄仲裁坚持党建旗帜引领，紧密围绕仲裁主责主业，紧扣“内外兼修、提质增效”主题，通过加强党建工作和队伍建设，强化服务意识，提升裁决质效，致力公正仲裁，推进社会主义法治建设理念。</w:t>
      </w:r>
      <w:r>
        <w:rPr>
          <w:rFonts w:hint="eastAsia"/>
          <w:color w:val="000000" w:themeColor="text1"/>
          <w:sz w:val="32"/>
          <w:szCs w:val="32"/>
          <w:lang w:val="en-US" w:eastAsia="zh-CN"/>
        </w:rPr>
        <w:t xml:space="preserve">  </w:t>
      </w:r>
    </w:p>
    <w:p>
      <w:pPr>
        <w:numPr>
          <w:ilvl w:val="0"/>
          <w:numId w:val="0"/>
        </w:numPr>
        <w:spacing w:line="560" w:lineRule="exact"/>
        <w:ind w:firstLine="640"/>
        <w:rPr>
          <w:rFonts w:hint="eastAsia" w:ascii="仿宋_GB2312" w:eastAsia="仿宋_GB2312"/>
          <w:color w:val="000000" w:themeColor="text1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</w:rPr>
        <w:t>4.品牌精神：</w:t>
      </w:r>
    </w:p>
    <w:p>
      <w:pPr>
        <w:numPr>
          <w:ilvl w:val="0"/>
          <w:numId w:val="0"/>
        </w:numPr>
        <w:spacing w:line="560" w:lineRule="exact"/>
        <w:ind w:firstLine="640"/>
        <w:rPr>
          <w:rFonts w:hint="eastAsia" w:ascii="仿宋_GB2312" w:hAnsi="仿宋_GB2312" w:eastAsia="仿宋_GB2312" w:cs="仿宋_GB2312"/>
          <w:sz w:val="32"/>
          <w:szCs w:val="32"/>
          <w:vertAlign w:val="baseline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vertAlign w:val="baseline"/>
          <w:lang w:val="en-US" w:eastAsia="zh-CN"/>
        </w:rPr>
        <w:t>宗旨意识：党建引领、公正公平、廉洁高效、服务发展</w:t>
      </w:r>
    </w:p>
    <w:p>
      <w:pPr>
        <w:numPr>
          <w:ilvl w:val="0"/>
          <w:numId w:val="0"/>
        </w:numPr>
        <w:spacing w:line="560" w:lineRule="exact"/>
        <w:ind w:firstLine="640"/>
        <w:rPr>
          <w:rFonts w:hint="eastAsia" w:ascii="仿宋_GB2312" w:hAnsi="仿宋_GB2312" w:eastAsia="仿宋_GB2312" w:cs="仿宋_GB2312"/>
          <w:sz w:val="32"/>
          <w:szCs w:val="32"/>
          <w:vertAlign w:val="baseline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vertAlign w:val="baseline"/>
          <w:lang w:val="en-US" w:eastAsia="zh-CN"/>
        </w:rPr>
        <w:t>共同愿景：构建“党建引领、公正公平、廉洁高效、服务发展”的阳光仲裁机制。</w:t>
      </w:r>
    </w:p>
    <w:p>
      <w:pPr>
        <w:numPr>
          <w:ilvl w:val="0"/>
          <w:numId w:val="0"/>
        </w:numPr>
        <w:spacing w:line="560" w:lineRule="exact"/>
        <w:ind w:firstLine="640"/>
        <w:rPr>
          <w:rFonts w:hint="default" w:ascii="仿宋_GB2312" w:eastAsia="仿宋_GB2312"/>
          <w:color w:val="000000" w:themeColor="text1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vertAlign w:val="baseline"/>
          <w:lang w:val="en-US" w:eastAsia="zh-CN"/>
        </w:rPr>
        <w:t xml:space="preserve">价值取向：努力让人民群众在每一个仲裁案件中都感受到公平正义，为实现经济社会健康发展提供坚强仲裁保障。  </w:t>
      </w:r>
      <w:r>
        <w:rPr>
          <w:rFonts w:hint="eastAsia"/>
          <w:color w:val="000000" w:themeColor="text1"/>
          <w:sz w:val="32"/>
          <w:szCs w:val="32"/>
          <w:lang w:val="en-US" w:eastAsia="zh-CN"/>
        </w:rPr>
        <w:t xml:space="preserve"> </w:t>
      </w:r>
    </w:p>
    <w:p>
      <w:pPr>
        <w:numPr>
          <w:ilvl w:val="0"/>
          <w:numId w:val="0"/>
        </w:numPr>
        <w:spacing w:line="560" w:lineRule="exact"/>
        <w:ind w:firstLine="640"/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</w:rPr>
        <w:t>5.品牌理念:</w:t>
      </w:r>
    </w:p>
    <w:p>
      <w:pPr>
        <w:numPr>
          <w:ilvl w:val="0"/>
          <w:numId w:val="0"/>
        </w:numPr>
        <w:spacing w:line="560" w:lineRule="exact"/>
        <w:ind w:firstLine="640" w:firstLineChars="200"/>
        <w:rPr>
          <w:rFonts w:hint="eastAsia" w:ascii="仿宋_GB2312" w:eastAsia="仿宋_GB2312"/>
          <w:color w:val="000000" w:themeColor="text1"/>
          <w:sz w:val="32"/>
          <w:szCs w:val="32"/>
          <w:lang w:val="en-US" w:eastAsia="zh-CN"/>
        </w:rPr>
      </w:pPr>
      <w:r>
        <w:rPr>
          <w:rFonts w:hint="eastAsia" w:ascii="仿宋_GB2312" w:eastAsia="仿宋_GB2312"/>
          <w:color w:val="000000" w:themeColor="text1"/>
          <w:sz w:val="32"/>
          <w:szCs w:val="32"/>
          <w:lang w:val="en-US" w:eastAsia="zh-CN"/>
        </w:rPr>
        <w:t>学习理念：锤炼党性，夯实思想根基。</w:t>
      </w:r>
    </w:p>
    <w:p>
      <w:pPr>
        <w:numPr>
          <w:ilvl w:val="0"/>
          <w:numId w:val="0"/>
        </w:numPr>
        <w:spacing w:line="560" w:lineRule="exact"/>
        <w:ind w:firstLine="640" w:firstLineChars="200"/>
        <w:rPr>
          <w:rFonts w:hint="eastAsia" w:ascii="仿宋_GB2312" w:eastAsia="仿宋_GB2312"/>
          <w:color w:val="000000" w:themeColor="text1"/>
          <w:sz w:val="32"/>
          <w:szCs w:val="32"/>
          <w:lang w:val="en-US" w:eastAsia="zh-CN"/>
        </w:rPr>
      </w:pPr>
      <w:r>
        <w:rPr>
          <w:rFonts w:hint="eastAsia" w:ascii="仿宋_GB2312" w:eastAsia="仿宋_GB2312"/>
          <w:color w:val="000000" w:themeColor="text1"/>
          <w:sz w:val="32"/>
          <w:szCs w:val="32"/>
          <w:lang w:val="en-US" w:eastAsia="zh-CN"/>
        </w:rPr>
        <w:t>服务理念：精进业务，提升履职效能。</w:t>
      </w:r>
    </w:p>
    <w:p>
      <w:pPr>
        <w:numPr>
          <w:ilvl w:val="0"/>
          <w:numId w:val="0"/>
        </w:numPr>
        <w:spacing w:line="560" w:lineRule="exact"/>
        <w:ind w:firstLine="640" w:firstLineChars="200"/>
        <w:rPr>
          <w:rFonts w:hint="eastAsia" w:ascii="仿宋_GB2312" w:eastAsia="仿宋_GB2312"/>
          <w:color w:val="000000" w:themeColor="text1"/>
          <w:sz w:val="32"/>
          <w:szCs w:val="32"/>
          <w:lang w:val="en-US" w:eastAsia="zh-CN"/>
        </w:rPr>
      </w:pPr>
      <w:r>
        <w:rPr>
          <w:rFonts w:hint="eastAsia" w:ascii="仿宋_GB2312" w:eastAsia="仿宋_GB2312"/>
          <w:color w:val="000000" w:themeColor="text1"/>
          <w:sz w:val="32"/>
          <w:szCs w:val="32"/>
          <w:lang w:val="en-US" w:eastAsia="zh-CN"/>
        </w:rPr>
        <w:t>管理理念：定岗定责，亮出公开承诺。</w:t>
      </w:r>
    </w:p>
    <w:p>
      <w:pPr>
        <w:numPr>
          <w:ilvl w:val="0"/>
          <w:numId w:val="0"/>
        </w:numPr>
        <w:spacing w:line="560" w:lineRule="exact"/>
        <w:ind w:firstLine="640" w:firstLineChars="200"/>
        <w:rPr>
          <w:rFonts w:hint="eastAsia" w:ascii="仿宋_GB2312" w:eastAsia="仿宋_GB2312"/>
          <w:color w:val="000000" w:themeColor="text1"/>
          <w:sz w:val="32"/>
          <w:szCs w:val="32"/>
          <w:lang w:val="en-US" w:eastAsia="zh-CN"/>
        </w:rPr>
      </w:pPr>
      <w:r>
        <w:rPr>
          <w:rFonts w:hint="eastAsia" w:ascii="仿宋_GB2312" w:eastAsia="仿宋_GB2312"/>
          <w:color w:val="000000" w:themeColor="text1"/>
          <w:sz w:val="32"/>
          <w:szCs w:val="32"/>
          <w:lang w:val="en-US" w:eastAsia="zh-CN"/>
        </w:rPr>
        <w:t>执行理念：提升作风，丰富品牌内涵。</w:t>
      </w:r>
    </w:p>
    <w:p>
      <w:pPr>
        <w:numPr>
          <w:ilvl w:val="0"/>
          <w:numId w:val="0"/>
        </w:numPr>
        <w:spacing w:line="560" w:lineRule="exact"/>
        <w:ind w:firstLine="640" w:firstLineChars="200"/>
        <w:rPr>
          <w:rFonts w:hint="eastAsia" w:ascii="仿宋_GB2312" w:eastAsia="仿宋_GB2312"/>
          <w:color w:val="000000" w:themeColor="text1"/>
          <w:sz w:val="32"/>
          <w:szCs w:val="32"/>
          <w:lang w:val="en-US" w:eastAsia="zh-CN"/>
        </w:rPr>
      </w:pPr>
      <w:r>
        <w:rPr>
          <w:rFonts w:hint="eastAsia" w:ascii="仿宋_GB2312" w:eastAsia="仿宋_GB2312"/>
          <w:color w:val="000000" w:themeColor="text1"/>
          <w:sz w:val="32"/>
          <w:szCs w:val="32"/>
          <w:lang w:val="en-US" w:eastAsia="zh-CN"/>
        </w:rPr>
        <w:t>廉政理念：勤廉铸信，强化制度保障。</w:t>
      </w:r>
    </w:p>
    <w:p>
      <w:pPr>
        <w:numPr>
          <w:ilvl w:val="0"/>
          <w:numId w:val="0"/>
        </w:numPr>
        <w:spacing w:line="560" w:lineRule="exact"/>
        <w:ind w:firstLine="640"/>
        <w:rPr>
          <w:rFonts w:hint="default" w:ascii="黑体" w:hAnsi="黑体" w:eastAsia="黑体" w:cs="黑体"/>
          <w:color w:val="000000" w:themeColor="text1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</w:rPr>
        <w:t>6.品牌形象：</w:t>
      </w:r>
    </w:p>
    <w:p>
      <w:pPr>
        <w:spacing w:line="560" w:lineRule="exact"/>
        <w:ind w:firstLine="640" w:firstLineChars="200"/>
        <w:rPr>
          <w:rFonts w:hint="eastAsia" w:ascii="仿宋_GB2312" w:eastAsia="仿宋_GB2312"/>
          <w:color w:val="000000" w:themeColor="text1"/>
          <w:sz w:val="32"/>
          <w:szCs w:val="32"/>
          <w:lang w:val="en-US" w:eastAsia="zh-CN"/>
        </w:rPr>
      </w:pPr>
      <w:r>
        <w:rPr>
          <w:rFonts w:hint="eastAsia" w:ascii="仿宋_GB2312" w:eastAsia="仿宋_GB2312"/>
          <w:color w:val="000000" w:themeColor="text1"/>
          <w:sz w:val="32"/>
          <w:szCs w:val="32"/>
          <w:lang w:val="en-US" w:eastAsia="zh-CN"/>
        </w:rPr>
        <w:t>单位形象：</w:t>
      </w: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</w:rPr>
        <w:t>服务群众、依法办事。</w:t>
      </w:r>
      <w:r>
        <w:rPr>
          <w:rFonts w:hint="eastAsia" w:ascii="仿宋_GB2312" w:eastAsia="仿宋_GB2312"/>
          <w:color w:val="000000" w:themeColor="text1"/>
          <w:sz w:val="32"/>
          <w:szCs w:val="32"/>
        </w:rPr>
        <w:t>坚持全心全意为人民服务根本宗旨，坚持仲裁为民工作理念, 探索抓基层打基础新途径、新方法、新机制，建立健全仲裁服务制度，做好仲裁便民利民工作。在案件裁决过程中，切实维护公平正义，不断提高服务群众水平。</w:t>
      </w:r>
    </w:p>
    <w:p>
      <w:pPr>
        <w:spacing w:line="560" w:lineRule="exact"/>
        <w:ind w:firstLine="640" w:firstLineChars="200"/>
        <w:rPr>
          <w:rFonts w:hint="eastAsia" w:ascii="仿宋_GB2312" w:eastAsia="仿宋_GB2312"/>
          <w:color w:val="000000" w:themeColor="text1"/>
          <w:sz w:val="32"/>
          <w:szCs w:val="32"/>
          <w:lang w:val="en-US" w:eastAsia="zh-CN"/>
        </w:rPr>
      </w:pPr>
      <w:r>
        <w:rPr>
          <w:rFonts w:hint="eastAsia" w:ascii="仿宋_GB2312" w:eastAsia="仿宋_GB2312"/>
          <w:color w:val="000000" w:themeColor="text1"/>
          <w:sz w:val="32"/>
          <w:szCs w:val="32"/>
          <w:lang w:val="en-US" w:eastAsia="zh-CN"/>
        </w:rPr>
        <w:t>班子形象：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</w:rPr>
        <w:t>围绕中心、服务大局。</w:t>
      </w:r>
      <w:r>
        <w:rPr>
          <w:rFonts w:hint="eastAsia" w:ascii="仿宋_GB2312" w:eastAsia="仿宋_GB2312"/>
          <w:color w:val="000000" w:themeColor="text1"/>
          <w:sz w:val="32"/>
          <w:szCs w:val="32"/>
        </w:rPr>
        <w:t>围绕仲裁中心工作，把党建工作与</w:t>
      </w:r>
      <w:r>
        <w:rPr>
          <w:rFonts w:hint="eastAsia" w:ascii="仿宋_GB2312" w:eastAsia="仿宋_GB2312"/>
          <w:color w:val="000000" w:themeColor="text1"/>
          <w:sz w:val="32"/>
          <w:szCs w:val="32"/>
          <w:lang w:eastAsia="zh-CN"/>
        </w:rPr>
        <w:t>队伍建设</w:t>
      </w:r>
      <w:r>
        <w:rPr>
          <w:rFonts w:hint="eastAsia" w:ascii="仿宋_GB2312" w:eastAsia="仿宋_GB2312"/>
          <w:color w:val="000000" w:themeColor="text1"/>
          <w:sz w:val="32"/>
          <w:szCs w:val="32"/>
        </w:rPr>
        <w:t>紧密结合，探索抓党建带队伍新途径、新方法、新机制，做严守政治纪律、组织纪律、廉洁纪律、群众纪律、工作纪律和生活纪律的表率</w:t>
      </w:r>
      <w:r>
        <w:rPr>
          <w:rFonts w:hint="eastAsia" w:ascii="仿宋_GB2312" w:eastAsia="仿宋_GB2312"/>
          <w:color w:val="000000" w:themeColor="text1"/>
          <w:sz w:val="32"/>
          <w:szCs w:val="32"/>
          <w:lang w:eastAsia="zh-CN"/>
        </w:rPr>
        <w:t>，</w:t>
      </w:r>
      <w:r>
        <w:rPr>
          <w:rFonts w:hint="eastAsia" w:ascii="仿宋_GB2312" w:eastAsia="仿宋_GB2312"/>
          <w:color w:val="000000" w:themeColor="text1"/>
          <w:sz w:val="32"/>
          <w:szCs w:val="32"/>
        </w:rPr>
        <w:t>增强</w:t>
      </w:r>
      <w:r>
        <w:rPr>
          <w:rFonts w:hint="eastAsia" w:ascii="仿宋_GB2312" w:eastAsia="仿宋_GB2312"/>
          <w:color w:val="000000" w:themeColor="text1"/>
          <w:sz w:val="32"/>
          <w:szCs w:val="32"/>
          <w:lang w:eastAsia="zh-CN"/>
        </w:rPr>
        <w:t>领导班子和</w:t>
      </w:r>
      <w:r>
        <w:rPr>
          <w:rFonts w:hint="eastAsia" w:ascii="仿宋_GB2312" w:eastAsia="仿宋_GB2312"/>
          <w:color w:val="000000" w:themeColor="text1"/>
          <w:sz w:val="32"/>
          <w:szCs w:val="32"/>
        </w:rPr>
        <w:t>党员队伍活力，让每一个仲裁案件办理过程中都树立</w:t>
      </w:r>
      <w:r>
        <w:rPr>
          <w:rFonts w:hint="eastAsia" w:ascii="仿宋_GB2312" w:eastAsia="仿宋_GB2312"/>
          <w:color w:val="000000" w:themeColor="text1"/>
          <w:sz w:val="32"/>
          <w:szCs w:val="32"/>
          <w:lang w:eastAsia="zh-CN"/>
        </w:rPr>
        <w:t>党组织</w:t>
      </w:r>
      <w:r>
        <w:rPr>
          <w:rFonts w:hint="eastAsia" w:ascii="仿宋_GB2312" w:eastAsia="仿宋_GB2312"/>
          <w:color w:val="000000" w:themeColor="text1"/>
          <w:sz w:val="32"/>
          <w:szCs w:val="32"/>
        </w:rPr>
        <w:t>的良好形象。</w:t>
      </w:r>
    </w:p>
    <w:p>
      <w:pPr>
        <w:spacing w:line="560" w:lineRule="exact"/>
        <w:ind w:firstLine="640" w:firstLineChars="200"/>
        <w:rPr>
          <w:rFonts w:hint="eastAsia" w:ascii="仿宋_GB2312" w:eastAsia="仿宋_GB2312"/>
          <w:color w:val="000000" w:themeColor="text1"/>
          <w:sz w:val="32"/>
          <w:szCs w:val="32"/>
          <w:lang w:val="en-US" w:eastAsia="zh-CN"/>
        </w:rPr>
      </w:pPr>
      <w:r>
        <w:rPr>
          <w:rFonts w:hint="eastAsia" w:ascii="仿宋_GB2312" w:eastAsia="仿宋_GB2312"/>
          <w:color w:val="000000" w:themeColor="text1"/>
          <w:sz w:val="32"/>
          <w:szCs w:val="32"/>
          <w:lang w:val="en-US" w:eastAsia="zh-CN"/>
        </w:rPr>
        <w:t>队伍形象：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</w:rPr>
        <w:t>转变作风、提升形象。</w:t>
      </w:r>
      <w:r>
        <w:rPr>
          <w:rFonts w:hint="eastAsia" w:ascii="仿宋_GB2312" w:eastAsia="仿宋_GB2312"/>
          <w:color w:val="000000" w:themeColor="text1"/>
          <w:sz w:val="32"/>
          <w:szCs w:val="32"/>
        </w:rPr>
        <w:t>坚定理想信念，忠诚仲裁事业，探索抓作风求实效新途径、新方法、新机制，努力建设一支政治坚定、思想进步、作风优良、勤政廉洁的干部队伍，构建富有活力、服务大局的基层</w:t>
      </w:r>
      <w:r>
        <w:rPr>
          <w:rFonts w:hint="eastAsia" w:ascii="仿宋_GB2312" w:eastAsia="仿宋_GB2312"/>
          <w:color w:val="000000" w:themeColor="text1"/>
          <w:sz w:val="32"/>
          <w:szCs w:val="32"/>
          <w:lang w:eastAsia="zh-CN"/>
        </w:rPr>
        <w:t>组织</w:t>
      </w:r>
      <w:r>
        <w:rPr>
          <w:rFonts w:hint="eastAsia" w:ascii="仿宋_GB2312" w:eastAsia="仿宋_GB2312"/>
          <w:color w:val="000000" w:themeColor="text1"/>
          <w:sz w:val="32"/>
          <w:szCs w:val="32"/>
        </w:rPr>
        <w:t>新格局。</w:t>
      </w:r>
    </w:p>
    <w:p>
      <w:pPr>
        <w:numPr>
          <w:ilvl w:val="0"/>
          <w:numId w:val="0"/>
        </w:numPr>
        <w:spacing w:line="560" w:lineRule="exact"/>
        <w:ind w:firstLine="640"/>
        <w:rPr>
          <w:rFonts w:hint="default" w:ascii="黑体" w:hAnsi="黑体" w:eastAsia="黑体" w:cs="黑体"/>
          <w:color w:val="000000" w:themeColor="text1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</w:rPr>
        <w:t>7.主要做法：</w:t>
      </w:r>
    </w:p>
    <w:p>
      <w:pPr>
        <w:spacing w:line="560" w:lineRule="exact"/>
        <w:ind w:firstLine="640" w:firstLineChars="200"/>
        <w:rPr>
          <w:rFonts w:hint="eastAsia" w:ascii="仿宋_GB2312" w:eastAsia="仿宋_GB2312"/>
          <w:color w:val="000000" w:themeColor="text1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eastAsia="zh-CN"/>
        </w:rPr>
        <w:t>一是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</w:rPr>
        <w:t>锤炼党性，夯实思想根基。</w:t>
      </w:r>
      <w:r>
        <w:rPr>
          <w:rFonts w:hint="eastAsia" w:ascii="仿宋_GB2312" w:eastAsia="仿宋_GB2312"/>
          <w:color w:val="000000" w:themeColor="text1"/>
          <w:sz w:val="32"/>
          <w:szCs w:val="32"/>
        </w:rPr>
        <w:t>把“讲政治”放在首位，贯穿机关党建全过程各方面。通过书记讲党课、集体过政治生日、重温入党誓言、中层干部上讲台、专题讲座、座谈会、助力疫情防控、扶贫帮扶、考察学习、基层社区“双报道”等形式，坚持“三会一课”、组织生活会、民主评议党员等制度，让全体党员把自己摆进去、把职责摆进去、把工作摆进去，学有所思，学有所获，加深对创建党建品牌活动的认识和理解，高度认识开展创建党建品牌活动的现实意义和深远意义，以求真务实的工作作风，昂扬向上的进取精神，奋发有为的工作状态，开拓创新的工作理念，促进各项工作的新发展，激活“提质增效”内生动力。</w:t>
      </w:r>
    </w:p>
    <w:p>
      <w:pPr>
        <w:spacing w:line="560" w:lineRule="exact"/>
        <w:ind w:firstLine="640" w:firstLineChars="200"/>
        <w:rPr>
          <w:rFonts w:hint="eastAsia" w:ascii="仿宋_GB2312" w:eastAsia="仿宋_GB2312"/>
          <w:color w:val="000000" w:themeColor="text1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eastAsia="zh-CN"/>
        </w:rPr>
        <w:t>二是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</w:rPr>
        <w:t>定岗定责，亮出公开承诺。</w:t>
      </w:r>
      <w:r>
        <w:rPr>
          <w:rFonts w:hint="eastAsia" w:ascii="仿宋_GB2312" w:eastAsia="仿宋_GB2312"/>
          <w:color w:val="000000" w:themeColor="text1"/>
          <w:sz w:val="32"/>
          <w:szCs w:val="32"/>
        </w:rPr>
        <w:t>开展“党员</w:t>
      </w:r>
      <w:r>
        <w:rPr>
          <w:rFonts w:hint="eastAsia" w:ascii="仿宋_GB2312" w:eastAsia="仿宋_GB2312"/>
          <w:color w:val="000000" w:themeColor="text1"/>
          <w:sz w:val="32"/>
          <w:szCs w:val="32"/>
          <w:lang w:eastAsia="zh-CN"/>
        </w:rPr>
        <w:t>岗位标兵</w:t>
      </w:r>
      <w:r>
        <w:rPr>
          <w:rFonts w:hint="eastAsia" w:ascii="仿宋_GB2312" w:eastAsia="仿宋_GB2312"/>
          <w:color w:val="000000" w:themeColor="text1"/>
          <w:sz w:val="32"/>
          <w:szCs w:val="32"/>
        </w:rPr>
        <w:t>”评选活动，实行全体党员公开承诺制，按照“设岗定责，依岗承诺”的要求，紧紧围绕做好自己的本职工作，发挥共产党员先锋模范作用，作出公开承诺并进行公示。公示内容为：公示党员的名单和具体岗位、公开承诺内容。通过建立党员先锋岗、党员示范窗口，激励党员干部创先争优，奋发向上，充分发挥党支部的战斗堡垒作用和广大党员干部的先锋模范作用。</w:t>
      </w:r>
    </w:p>
    <w:p>
      <w:pPr>
        <w:spacing w:line="560" w:lineRule="exact"/>
        <w:ind w:firstLine="640" w:firstLineChars="200"/>
        <w:rPr>
          <w:rFonts w:hint="eastAsia" w:ascii="仿宋_GB2312" w:eastAsia="仿宋_GB2312"/>
          <w:color w:val="000000" w:themeColor="text1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eastAsia="zh-CN"/>
        </w:rPr>
        <w:t>三是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</w:rPr>
        <w:t>精进业务，提升履职效能。</w:t>
      </w:r>
      <w:r>
        <w:rPr>
          <w:rFonts w:hint="eastAsia" w:ascii="仿宋_GB2312" w:eastAsia="仿宋_GB2312"/>
          <w:color w:val="000000" w:themeColor="text1"/>
          <w:sz w:val="32"/>
          <w:szCs w:val="32"/>
        </w:rPr>
        <w:t>把学习作为第一要务，坚持每周五下午政治业务专题学习雷打不动。开展典型案例、优秀文书等传阅学，实行仲裁员讲学和专家座谈交流拓展学，全面提高党员业务能力。将推动业务发展作为检验党建成效的重要标尺，不断完善办案制度，改进办案方式，提高办案技巧，积极推行调、裁、审衔接，实现流程再造</w:t>
      </w:r>
      <w:r>
        <w:rPr>
          <w:rFonts w:hint="eastAsia" w:ascii="仿宋_GB2312" w:eastAsia="仿宋_GB2312"/>
          <w:color w:val="000000" w:themeColor="text1"/>
          <w:sz w:val="32"/>
          <w:szCs w:val="32"/>
          <w:lang w:eastAsia="zh-CN"/>
        </w:rPr>
        <w:t>。</w:t>
      </w:r>
      <w:r>
        <w:rPr>
          <w:rFonts w:hint="eastAsia" w:ascii="仿宋_GB2312" w:hAnsi="Helvetica" w:eastAsia="仿宋_GB2312"/>
          <w:color w:val="000000" w:themeColor="text1"/>
          <w:sz w:val="32"/>
          <w:szCs w:val="32"/>
        </w:rPr>
        <w:t>对简单的争议案件和一方有调解意愿的案件，探索实行调解前置，尽量促成当事人达成庭前、庭中调解，以柔性化手段处理纠纷，化解双方矛盾，促进社会和谐，实现“案结了事”的法律效果和“重归于好”的社会效果的有机统一</w:t>
      </w:r>
      <w:r>
        <w:rPr>
          <w:rFonts w:hint="eastAsia" w:ascii="仿宋_GB2312" w:hAnsi="Helvetica" w:eastAsia="仿宋_GB2312"/>
          <w:color w:val="000000" w:themeColor="text1"/>
          <w:sz w:val="32"/>
          <w:szCs w:val="32"/>
          <w:lang w:eastAsia="zh-CN"/>
        </w:rPr>
        <w:t>，</w:t>
      </w:r>
      <w:r>
        <w:rPr>
          <w:rFonts w:hint="eastAsia" w:ascii="仿宋_GB2312" w:eastAsia="仿宋_GB2312"/>
          <w:color w:val="000000" w:themeColor="text1"/>
          <w:sz w:val="32"/>
          <w:szCs w:val="32"/>
        </w:rPr>
        <w:t>不断提升办案效率质量，实现仲裁的法律效果和社会效果。</w:t>
      </w:r>
    </w:p>
    <w:p>
      <w:pPr>
        <w:spacing w:line="560" w:lineRule="exact"/>
        <w:ind w:firstLine="640" w:firstLineChars="200"/>
        <w:rPr>
          <w:rFonts w:hint="eastAsia" w:ascii="仿宋_GB2312" w:hAnsi="Helvetica" w:eastAsia="仿宋_GB2312"/>
          <w:color w:val="000000" w:themeColor="text1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eastAsia="zh-CN"/>
        </w:rPr>
        <w:t>四是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</w:rPr>
        <w:t>涵养作风，丰富品牌内涵。</w:t>
      </w:r>
      <w:r>
        <w:rPr>
          <w:rFonts w:hint="eastAsia" w:ascii="仿宋_GB2312" w:eastAsia="仿宋_GB2312"/>
          <w:color w:val="000000" w:themeColor="text1"/>
          <w:sz w:val="32"/>
          <w:szCs w:val="32"/>
        </w:rPr>
        <w:t>把抓党风作风落在实处。坚持以制度管人管事管权、按规定履职办事办案。全面推行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</w:rPr>
        <w:t>《党员量化积分考核管理办法》</w:t>
      </w:r>
      <w:r>
        <w:rPr>
          <w:rFonts w:hint="eastAsia" w:ascii="仿宋_GB2312" w:eastAsia="仿宋_GB2312"/>
          <w:color w:val="000000" w:themeColor="text1"/>
          <w:sz w:val="32"/>
          <w:szCs w:val="32"/>
        </w:rPr>
        <w:t>，为支部党员管理注入新活力。</w:t>
      </w:r>
      <w:r>
        <w:rPr>
          <w:rFonts w:hint="eastAsia" w:ascii="仿宋_GB2312" w:hAnsi="Helvetica" w:eastAsia="仿宋_GB2312"/>
          <w:color w:val="000000" w:themeColor="text1"/>
          <w:sz w:val="32"/>
          <w:szCs w:val="32"/>
        </w:rPr>
        <w:t>突出仲裁服务理念，强化服务意识，把“仲裁就是服务”的思想贯穿到仲裁工作的全过程，使服务企业、服务当事人成为自觉行动。结合“双报到”、扶贫帮扶和党员志愿者服务活动推行仲裁。发挥党员志愿服务作用，推动志愿服务常态化，采取送法进社区、送法入企、送法入校等活动进行普法宣传，</w:t>
      </w:r>
      <w:r>
        <w:rPr>
          <w:rFonts w:hint="eastAsia" w:ascii="仿宋_GB2312" w:eastAsia="仿宋_GB2312"/>
          <w:color w:val="000000" w:themeColor="text1"/>
          <w:sz w:val="32"/>
          <w:szCs w:val="32"/>
        </w:rPr>
        <w:t>扩展机关党建维度广度，</w:t>
      </w:r>
      <w:r>
        <w:rPr>
          <w:rFonts w:hint="eastAsia" w:ascii="仿宋_GB2312" w:hAnsi="Helvetica" w:eastAsia="仿宋_GB2312"/>
          <w:color w:val="000000" w:themeColor="text1"/>
          <w:sz w:val="32"/>
          <w:szCs w:val="32"/>
        </w:rPr>
        <w:t>巩固市直文明单位创建成果。</w:t>
      </w:r>
    </w:p>
    <w:p>
      <w:pPr>
        <w:spacing w:line="560" w:lineRule="exact"/>
        <w:ind w:firstLine="640" w:firstLineChars="200"/>
        <w:rPr>
          <w:rFonts w:hint="eastAsia" w:ascii="仿宋_GB2312" w:hAnsi="Helvetica" w:eastAsia="仿宋_GB2312"/>
          <w:color w:val="000000" w:themeColor="text1"/>
          <w:sz w:val="32"/>
          <w:szCs w:val="32"/>
        </w:rPr>
      </w:pPr>
      <w:r>
        <w:rPr>
          <w:rFonts w:hint="eastAsia" w:ascii="仿宋_GB2312" w:hAnsi="Helvetica" w:eastAsia="仿宋_GB2312"/>
          <w:color w:val="000000" w:themeColor="text1"/>
          <w:sz w:val="32"/>
          <w:szCs w:val="32"/>
          <w:lang w:eastAsia="zh-CN"/>
        </w:rPr>
        <w:t>五是勤廉铸信，强化制度保障。扎实推进机关党建向纵深发展。坚持不懈建设勤廉机关，加大专项检查、明察暗访、政治巡察工作力度，深入落实中央八项规定精神，持之以恒正风肃纪。运用“四种形态”强化监督执纪问责，营造风清气正的政治生态，不断提升基层党组织的公信力和号召力。</w:t>
      </w:r>
      <w:r>
        <w:rPr>
          <w:rFonts w:hint="eastAsia" w:ascii="仿宋_GB2312" w:eastAsia="仿宋_GB2312"/>
          <w:color w:val="000000" w:themeColor="text1"/>
          <w:sz w:val="32"/>
          <w:szCs w:val="32"/>
          <w:lang w:eastAsia="zh-CN"/>
        </w:rPr>
        <w:t>严格执行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</w:rPr>
        <w:t>《仲裁员管理办法》《仲裁员办案规则》《仲裁员考核办法》《对违法违纪仲裁员处理的若干规定》《案件裁决核阅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eastAsia="zh-CN"/>
        </w:rPr>
        <w:t>制度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</w:rPr>
        <w:t>》《领导干部干预仲裁活动、插手具体案件处理的记录、通报和责任追究办法》等内部管理制度</w:t>
      </w:r>
      <w:r>
        <w:rPr>
          <w:rFonts w:hint="eastAsia" w:ascii="仿宋_GB2312" w:eastAsia="仿宋_GB2312"/>
          <w:color w:val="000000" w:themeColor="text1"/>
          <w:sz w:val="32"/>
          <w:szCs w:val="32"/>
          <w:lang w:eastAsia="zh-CN"/>
        </w:rPr>
        <w:t>。</w:t>
      </w:r>
      <w:r>
        <w:rPr>
          <w:rFonts w:hint="eastAsia" w:ascii="仿宋_GB2312" w:hAnsi="Helvetica" w:eastAsia="仿宋_GB2312"/>
          <w:color w:val="000000" w:themeColor="text1"/>
          <w:sz w:val="32"/>
          <w:szCs w:val="32"/>
        </w:rPr>
        <w:t>把机关党支部建设成凝聚人心、推动发展、促进和谐的领导核心和战斗堡垒，为深化仲裁事业改革发展提供坚强</w:t>
      </w:r>
      <w:r>
        <w:rPr>
          <w:rFonts w:hint="eastAsia" w:ascii="仿宋_GB2312" w:hAnsi="Helvetica" w:eastAsia="仿宋_GB2312"/>
          <w:color w:val="000000" w:themeColor="text1"/>
          <w:sz w:val="32"/>
          <w:szCs w:val="32"/>
          <w:lang w:eastAsia="zh-CN"/>
        </w:rPr>
        <w:t>制度</w:t>
      </w:r>
      <w:r>
        <w:rPr>
          <w:rFonts w:hint="eastAsia" w:ascii="仿宋_GB2312" w:hAnsi="Helvetica" w:eastAsia="仿宋_GB2312"/>
          <w:color w:val="000000" w:themeColor="text1"/>
          <w:sz w:val="32"/>
          <w:szCs w:val="32"/>
        </w:rPr>
        <w:t>保障。</w:t>
      </w:r>
    </w:p>
    <w:p>
      <w:pPr>
        <w:numPr>
          <w:ilvl w:val="0"/>
          <w:numId w:val="1"/>
        </w:numPr>
        <w:spacing w:line="560" w:lineRule="exact"/>
        <w:ind w:firstLine="640" w:firstLineChars="200"/>
        <w:jc w:val="both"/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</w:rPr>
        <w:t>相关活动照片</w:t>
      </w:r>
    </w:p>
    <w:p>
      <w:pPr>
        <w:widowControl w:val="0"/>
        <w:numPr>
          <w:numId w:val="0"/>
        </w:numPr>
        <w:spacing w:line="560" w:lineRule="exact"/>
        <w:jc w:val="both"/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</w:rPr>
      </w:pPr>
    </w:p>
    <w:p>
      <w:pPr>
        <w:widowControl w:val="0"/>
        <w:numPr>
          <w:numId w:val="0"/>
        </w:numPr>
        <w:spacing w:line="560" w:lineRule="exact"/>
        <w:jc w:val="both"/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</w:rPr>
      </w:pPr>
      <w:r>
        <w:rPr>
          <w:rFonts w:hint="default" w:ascii="黑体" w:hAnsi="黑体" w:eastAsia="黑体" w:cs="黑体"/>
          <w:color w:val="000000" w:themeColor="text1"/>
          <w:sz w:val="32"/>
          <w:szCs w:val="32"/>
          <w:lang w:val="en-US" w:eastAsia="zh-CN"/>
        </w:rPr>
        <w:drawing>
          <wp:anchor distT="0" distB="0" distL="114935" distR="114935" simplePos="0" relativeHeight="251659264" behindDoc="0" locked="0" layoutInCell="1" allowOverlap="1">
            <wp:simplePos x="0" y="0"/>
            <wp:positionH relativeFrom="column">
              <wp:posOffset>396875</wp:posOffset>
            </wp:positionH>
            <wp:positionV relativeFrom="paragraph">
              <wp:posOffset>179070</wp:posOffset>
            </wp:positionV>
            <wp:extent cx="4507230" cy="3380740"/>
            <wp:effectExtent l="0" t="0" r="7620" b="10160"/>
            <wp:wrapSquare wrapText="bothSides"/>
            <wp:docPr id="2" name="图片 2" descr="集体学习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集体学习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507230" cy="3380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 w:val="0"/>
        <w:numPr>
          <w:numId w:val="0"/>
        </w:numPr>
        <w:spacing w:line="560" w:lineRule="exact"/>
        <w:jc w:val="both"/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</w:rPr>
      </w:pPr>
    </w:p>
    <w:p>
      <w:pPr>
        <w:widowControl w:val="0"/>
        <w:numPr>
          <w:numId w:val="0"/>
        </w:numPr>
        <w:spacing w:line="560" w:lineRule="exact"/>
        <w:jc w:val="both"/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</w:rPr>
      </w:pPr>
    </w:p>
    <w:p>
      <w:pPr>
        <w:widowControl w:val="0"/>
        <w:numPr>
          <w:numId w:val="0"/>
        </w:numPr>
        <w:spacing w:line="560" w:lineRule="exact"/>
        <w:jc w:val="both"/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</w:rPr>
      </w:pPr>
    </w:p>
    <w:p>
      <w:pPr>
        <w:numPr>
          <w:numId w:val="0"/>
        </w:numPr>
        <w:spacing w:line="560" w:lineRule="exact"/>
        <w:jc w:val="both"/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</w:rPr>
        <w:t xml:space="preserve">  </w:t>
      </w:r>
    </w:p>
    <w:p>
      <w:pPr>
        <w:numPr>
          <w:numId w:val="0"/>
        </w:numPr>
        <w:spacing w:line="560" w:lineRule="exact"/>
        <w:jc w:val="both"/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</w:rPr>
      </w:pPr>
    </w:p>
    <w:p>
      <w:pPr>
        <w:numPr>
          <w:numId w:val="0"/>
        </w:numPr>
        <w:spacing w:line="560" w:lineRule="exact"/>
        <w:jc w:val="both"/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</w:rPr>
      </w:pPr>
    </w:p>
    <w:p>
      <w:pPr>
        <w:numPr>
          <w:numId w:val="0"/>
        </w:numPr>
        <w:spacing w:line="560" w:lineRule="exact"/>
        <w:jc w:val="both"/>
        <w:rPr>
          <w:rFonts w:hint="default" w:ascii="黑体" w:hAnsi="黑体" w:eastAsia="黑体" w:cs="黑体"/>
          <w:color w:val="000000" w:themeColor="text1"/>
          <w:sz w:val="32"/>
          <w:szCs w:val="32"/>
          <w:lang w:val="en-US" w:eastAsia="zh-CN"/>
        </w:rPr>
      </w:pPr>
    </w:p>
    <w:p>
      <w:pPr>
        <w:spacing w:line="560" w:lineRule="exact"/>
        <w:ind w:firstLine="640" w:firstLineChars="200"/>
        <w:jc w:val="both"/>
        <w:rPr>
          <w:rFonts w:hint="eastAsia" w:ascii="仿宋_GB2312" w:hAnsi="Helvetica" w:eastAsia="仿宋_GB2312"/>
          <w:color w:val="000000" w:themeColor="text1"/>
          <w:sz w:val="32"/>
          <w:szCs w:val="32"/>
        </w:rPr>
      </w:pPr>
    </w:p>
    <w:p>
      <w:pPr>
        <w:spacing w:line="560" w:lineRule="exact"/>
        <w:ind w:firstLine="640" w:firstLineChars="200"/>
        <w:jc w:val="both"/>
        <w:rPr>
          <w:rFonts w:hint="eastAsia" w:ascii="仿宋_GB2312" w:hAnsi="Helvetica" w:eastAsia="仿宋_GB2312"/>
          <w:color w:val="000000" w:themeColor="text1"/>
          <w:sz w:val="32"/>
          <w:szCs w:val="32"/>
        </w:rPr>
      </w:pPr>
    </w:p>
    <w:p>
      <w:pPr>
        <w:spacing w:line="560" w:lineRule="exact"/>
        <w:jc w:val="left"/>
        <w:rPr>
          <w:rFonts w:ascii="仿宋_GB2312" w:hAnsi="仿宋_GB2312" w:eastAsia="仿宋_GB2312" w:cs="仿宋_GB2312"/>
          <w:kern w:val="0"/>
          <w:sz w:val="32"/>
          <w:szCs w:val="32"/>
          <w:shd w:val="clear" w:color="auto" w:fill="FFFFFF"/>
        </w:rPr>
      </w:pPr>
    </w:p>
    <w:p>
      <w:pPr>
        <w:spacing w:line="560" w:lineRule="exact"/>
        <w:jc w:val="left"/>
        <w:rPr>
          <w:rFonts w:ascii="仿宋_GB2312" w:hAnsi="仿宋_GB2312" w:eastAsia="仿宋_GB2312" w:cs="仿宋_GB2312"/>
          <w:kern w:val="0"/>
          <w:sz w:val="32"/>
          <w:szCs w:val="32"/>
          <w:shd w:val="clear" w:color="auto" w:fill="FFFFFF"/>
        </w:rPr>
      </w:pPr>
    </w:p>
    <w:p>
      <w:pPr>
        <w:spacing w:line="560" w:lineRule="exact"/>
        <w:jc w:val="left"/>
        <w:rPr>
          <w:rFonts w:ascii="仿宋_GB2312" w:hAnsi="仿宋_GB2312" w:eastAsia="仿宋_GB2312" w:cs="仿宋_GB2312"/>
          <w:kern w:val="0"/>
          <w:sz w:val="32"/>
          <w:szCs w:val="32"/>
          <w:shd w:val="clear" w:color="auto" w:fill="FFFFFF"/>
        </w:rPr>
      </w:pPr>
    </w:p>
    <w:p>
      <w:pPr>
        <w:spacing w:line="560" w:lineRule="exact"/>
        <w:jc w:val="left"/>
        <w:rPr>
          <w:rFonts w:ascii="仿宋_GB2312" w:hAnsi="仿宋_GB2312" w:eastAsia="仿宋_GB2312" w:cs="仿宋_GB2312"/>
          <w:kern w:val="0"/>
          <w:sz w:val="32"/>
          <w:szCs w:val="32"/>
          <w:shd w:val="clear" w:color="auto" w:fill="FFFFFF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  <w:shd w:val="clear" w:color="auto" w:fill="FFFFFF"/>
          <w:lang w:eastAsia="zh-CN"/>
        </w:rPr>
        <w:drawing>
          <wp:anchor distT="0" distB="0" distL="114935" distR="114935" simplePos="0" relativeHeight="251660288" behindDoc="0" locked="0" layoutInCell="1" allowOverlap="1">
            <wp:simplePos x="0" y="0"/>
            <wp:positionH relativeFrom="column">
              <wp:posOffset>404495</wp:posOffset>
            </wp:positionH>
            <wp:positionV relativeFrom="paragraph">
              <wp:posOffset>274955</wp:posOffset>
            </wp:positionV>
            <wp:extent cx="4620260" cy="3465830"/>
            <wp:effectExtent l="0" t="0" r="8890" b="1270"/>
            <wp:wrapSquare wrapText="bothSides"/>
            <wp:docPr id="3" name="图片 3" descr="仲裁法律宣传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仲裁法律宣传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620260" cy="3465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560" w:lineRule="exact"/>
        <w:jc w:val="left"/>
        <w:rPr>
          <w:rFonts w:hint="eastAsia" w:ascii="仿宋_GB2312" w:hAnsi="仿宋_GB2312" w:eastAsia="仿宋_GB2312" w:cs="仿宋_GB2312"/>
          <w:kern w:val="0"/>
          <w:sz w:val="32"/>
          <w:szCs w:val="32"/>
          <w:shd w:val="clear" w:color="auto" w:fill="FFFFFF"/>
          <w:lang w:eastAsia="zh-CN"/>
        </w:rPr>
      </w:pPr>
    </w:p>
    <w:p>
      <w:pPr>
        <w:spacing w:line="560" w:lineRule="exact"/>
        <w:jc w:val="left"/>
        <w:rPr>
          <w:rFonts w:ascii="仿宋_GB2312" w:hAnsi="仿宋_GB2312" w:eastAsia="仿宋_GB2312" w:cs="仿宋_GB2312"/>
          <w:kern w:val="0"/>
          <w:sz w:val="32"/>
          <w:szCs w:val="32"/>
          <w:shd w:val="clear" w:color="auto" w:fill="FFFFFF"/>
        </w:rPr>
      </w:pPr>
    </w:p>
    <w:p>
      <w:pPr>
        <w:spacing w:line="560" w:lineRule="exact"/>
        <w:jc w:val="left"/>
        <w:rPr>
          <w:rFonts w:ascii="仿宋_GB2312" w:hAnsi="仿宋_GB2312" w:eastAsia="仿宋_GB2312" w:cs="仿宋_GB2312"/>
          <w:kern w:val="0"/>
          <w:sz w:val="32"/>
          <w:szCs w:val="32"/>
          <w:shd w:val="clear" w:color="auto" w:fill="FFFFFF"/>
        </w:rPr>
      </w:pPr>
    </w:p>
    <w:p>
      <w:pPr>
        <w:spacing w:line="560" w:lineRule="exact"/>
        <w:jc w:val="left"/>
        <w:rPr>
          <w:rFonts w:ascii="仿宋_GB2312" w:hAnsi="仿宋_GB2312" w:eastAsia="仿宋_GB2312" w:cs="仿宋_GB2312"/>
          <w:kern w:val="0"/>
          <w:sz w:val="32"/>
          <w:szCs w:val="32"/>
          <w:shd w:val="clear" w:color="auto" w:fill="FFFFFF"/>
        </w:rPr>
      </w:pPr>
    </w:p>
    <w:p>
      <w:pPr>
        <w:spacing w:line="560" w:lineRule="exact"/>
        <w:jc w:val="left"/>
        <w:rPr>
          <w:rFonts w:ascii="仿宋_GB2312" w:hAnsi="仿宋_GB2312" w:eastAsia="仿宋_GB2312" w:cs="仿宋_GB2312"/>
          <w:kern w:val="0"/>
          <w:sz w:val="32"/>
          <w:szCs w:val="32"/>
          <w:shd w:val="clear" w:color="auto" w:fill="FFFFFF"/>
        </w:rPr>
      </w:pPr>
    </w:p>
    <w:p>
      <w:pPr>
        <w:spacing w:line="560" w:lineRule="exact"/>
        <w:jc w:val="left"/>
        <w:rPr>
          <w:rFonts w:ascii="仿宋_GB2312" w:hAnsi="仿宋_GB2312" w:eastAsia="仿宋_GB2312" w:cs="仿宋_GB2312"/>
          <w:kern w:val="0"/>
          <w:sz w:val="32"/>
          <w:szCs w:val="32"/>
          <w:shd w:val="clear" w:color="auto" w:fill="FFFFFF"/>
        </w:rPr>
      </w:pPr>
    </w:p>
    <w:p>
      <w:pPr>
        <w:spacing w:line="560" w:lineRule="exact"/>
        <w:jc w:val="left"/>
        <w:rPr>
          <w:rFonts w:ascii="仿宋_GB2312" w:hAnsi="仿宋_GB2312" w:eastAsia="仿宋_GB2312" w:cs="仿宋_GB2312"/>
          <w:kern w:val="0"/>
          <w:sz w:val="32"/>
          <w:szCs w:val="32"/>
          <w:shd w:val="clear" w:color="auto" w:fill="FFFFFF"/>
        </w:rPr>
      </w:pPr>
    </w:p>
    <w:p>
      <w:pPr>
        <w:spacing w:line="560" w:lineRule="exact"/>
        <w:jc w:val="left"/>
        <w:rPr>
          <w:rFonts w:ascii="仿宋_GB2312" w:hAnsi="仿宋_GB2312" w:eastAsia="仿宋_GB2312" w:cs="仿宋_GB2312"/>
          <w:kern w:val="0"/>
          <w:sz w:val="32"/>
          <w:szCs w:val="32"/>
          <w:shd w:val="clear" w:color="auto" w:fill="FFFFFF"/>
        </w:rPr>
      </w:pPr>
    </w:p>
    <w:p>
      <w:pPr>
        <w:spacing w:line="560" w:lineRule="exact"/>
        <w:jc w:val="left"/>
        <w:rPr>
          <w:rFonts w:ascii="仿宋_GB2312" w:hAnsi="仿宋_GB2312" w:eastAsia="仿宋_GB2312" w:cs="仿宋_GB2312"/>
          <w:kern w:val="0"/>
          <w:sz w:val="32"/>
          <w:szCs w:val="32"/>
          <w:shd w:val="clear" w:color="auto" w:fill="FFFFFF"/>
        </w:rPr>
      </w:pPr>
    </w:p>
    <w:p>
      <w:pPr>
        <w:spacing w:line="560" w:lineRule="exact"/>
        <w:jc w:val="left"/>
        <w:rPr>
          <w:rFonts w:ascii="仿宋_GB2312" w:hAnsi="仿宋_GB2312" w:eastAsia="仿宋_GB2312" w:cs="仿宋_GB2312"/>
          <w:kern w:val="0"/>
          <w:sz w:val="32"/>
          <w:szCs w:val="32"/>
          <w:shd w:val="clear" w:color="auto" w:fill="FFFFFF"/>
        </w:rPr>
      </w:pPr>
    </w:p>
    <w:p>
      <w:pPr>
        <w:spacing w:line="560" w:lineRule="exact"/>
        <w:jc w:val="left"/>
        <w:rPr>
          <w:rFonts w:ascii="仿宋_GB2312" w:hAnsi="仿宋_GB2312" w:eastAsia="仿宋_GB2312" w:cs="仿宋_GB2312"/>
          <w:kern w:val="0"/>
          <w:sz w:val="32"/>
          <w:szCs w:val="32"/>
          <w:shd w:val="clear" w:color="auto" w:fill="FFFFFF"/>
        </w:rPr>
      </w:pPr>
    </w:p>
    <w:p>
      <w:pPr>
        <w:spacing w:line="560" w:lineRule="exact"/>
        <w:jc w:val="left"/>
        <w:rPr>
          <w:rFonts w:hint="eastAsia" w:ascii="仿宋_GB2312" w:hAnsi="仿宋_GB2312" w:eastAsia="仿宋_GB2312" w:cs="仿宋_GB2312"/>
          <w:kern w:val="0"/>
          <w:sz w:val="32"/>
          <w:szCs w:val="32"/>
          <w:shd w:val="clear" w:color="auto" w:fill="FFFFFF"/>
          <w:lang w:eastAsia="zh-CN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  <w:shd w:val="clear" w:color="auto" w:fill="FFFFFF"/>
          <w:lang w:eastAsia="zh-CN"/>
        </w:rPr>
        <w:drawing>
          <wp:anchor distT="0" distB="0" distL="114935" distR="114935" simplePos="0" relativeHeight="251661312" behindDoc="0" locked="0" layoutInCell="1" allowOverlap="1">
            <wp:simplePos x="0" y="0"/>
            <wp:positionH relativeFrom="column">
              <wp:posOffset>389255</wp:posOffset>
            </wp:positionH>
            <wp:positionV relativeFrom="paragraph">
              <wp:posOffset>160655</wp:posOffset>
            </wp:positionV>
            <wp:extent cx="4629785" cy="3473450"/>
            <wp:effectExtent l="0" t="0" r="18415" b="12700"/>
            <wp:wrapSquare wrapText="bothSides"/>
            <wp:docPr id="4" name="图片 4" descr="签廉政责任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签廉政责任书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629785" cy="3473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560" w:lineRule="exact"/>
        <w:jc w:val="left"/>
        <w:rPr>
          <w:rFonts w:ascii="仿宋_GB2312" w:hAnsi="仿宋_GB2312" w:eastAsia="仿宋_GB2312" w:cs="仿宋_GB2312"/>
          <w:kern w:val="0"/>
          <w:sz w:val="32"/>
          <w:szCs w:val="32"/>
          <w:shd w:val="clear" w:color="auto" w:fill="FFFFFF"/>
        </w:rPr>
      </w:pPr>
    </w:p>
    <w:p>
      <w:pPr>
        <w:spacing w:line="560" w:lineRule="exact"/>
        <w:jc w:val="left"/>
        <w:rPr>
          <w:rFonts w:ascii="仿宋_GB2312" w:hAnsi="仿宋_GB2312" w:eastAsia="仿宋_GB2312" w:cs="仿宋_GB2312"/>
          <w:kern w:val="0"/>
          <w:sz w:val="32"/>
          <w:szCs w:val="32"/>
          <w:shd w:val="clear" w:color="auto" w:fill="FFFFFF"/>
        </w:rPr>
      </w:pPr>
    </w:p>
    <w:p>
      <w:pPr>
        <w:spacing w:line="560" w:lineRule="exact"/>
        <w:jc w:val="left"/>
        <w:rPr>
          <w:rFonts w:ascii="仿宋_GB2312" w:hAnsi="仿宋_GB2312" w:eastAsia="仿宋_GB2312" w:cs="仿宋_GB2312"/>
          <w:kern w:val="0"/>
          <w:sz w:val="32"/>
          <w:szCs w:val="32"/>
          <w:shd w:val="clear" w:color="auto" w:fill="FFFFFF"/>
        </w:rPr>
      </w:pPr>
    </w:p>
    <w:p>
      <w:pPr>
        <w:spacing w:line="560" w:lineRule="exact"/>
        <w:jc w:val="left"/>
        <w:rPr>
          <w:rFonts w:ascii="仿宋_GB2312" w:hAnsi="仿宋_GB2312" w:eastAsia="仿宋_GB2312" w:cs="仿宋_GB2312"/>
          <w:kern w:val="0"/>
          <w:sz w:val="32"/>
          <w:szCs w:val="32"/>
          <w:shd w:val="clear" w:color="auto" w:fill="FFFFFF"/>
        </w:rPr>
      </w:pPr>
    </w:p>
    <w:p>
      <w:pPr>
        <w:spacing w:line="560" w:lineRule="exact"/>
        <w:jc w:val="left"/>
        <w:rPr>
          <w:rFonts w:ascii="仿宋_GB2312" w:hAnsi="仿宋_GB2312" w:eastAsia="仿宋_GB2312" w:cs="仿宋_GB2312"/>
          <w:kern w:val="0"/>
          <w:sz w:val="32"/>
          <w:szCs w:val="32"/>
          <w:shd w:val="clear" w:color="auto" w:fill="FFFFFF"/>
        </w:rPr>
      </w:pPr>
    </w:p>
    <w:p>
      <w:pPr>
        <w:spacing w:line="560" w:lineRule="exact"/>
        <w:jc w:val="left"/>
        <w:rPr>
          <w:rFonts w:ascii="仿宋_GB2312" w:hAnsi="仿宋_GB2312" w:eastAsia="仿宋_GB2312" w:cs="仿宋_GB2312"/>
          <w:kern w:val="0"/>
          <w:sz w:val="32"/>
          <w:szCs w:val="32"/>
          <w:shd w:val="clear" w:color="auto" w:fill="FFFFFF"/>
        </w:rPr>
      </w:pPr>
    </w:p>
    <w:p>
      <w:pPr>
        <w:spacing w:line="560" w:lineRule="exact"/>
        <w:jc w:val="left"/>
        <w:rPr>
          <w:rFonts w:ascii="仿宋_GB2312" w:hAnsi="仿宋_GB2312" w:eastAsia="仿宋_GB2312" w:cs="仿宋_GB2312"/>
          <w:kern w:val="0"/>
          <w:sz w:val="32"/>
          <w:szCs w:val="32"/>
          <w:shd w:val="clear" w:color="auto" w:fill="FFFFFF"/>
        </w:rPr>
      </w:pPr>
    </w:p>
    <w:p>
      <w:pPr>
        <w:spacing w:line="560" w:lineRule="exact"/>
        <w:jc w:val="left"/>
        <w:rPr>
          <w:rFonts w:ascii="仿宋_GB2312" w:hAnsi="仿宋_GB2312" w:eastAsia="仿宋_GB2312" w:cs="仿宋_GB2312"/>
          <w:kern w:val="0"/>
          <w:sz w:val="32"/>
          <w:szCs w:val="32"/>
          <w:shd w:val="clear" w:color="auto" w:fill="FFFFFF"/>
        </w:rPr>
      </w:pPr>
    </w:p>
    <w:p>
      <w:pPr>
        <w:spacing w:line="560" w:lineRule="exact"/>
        <w:jc w:val="left"/>
        <w:rPr>
          <w:rFonts w:ascii="仿宋_GB2312" w:hAnsi="仿宋_GB2312" w:eastAsia="仿宋_GB2312" w:cs="仿宋_GB2312"/>
          <w:kern w:val="0"/>
          <w:sz w:val="32"/>
          <w:szCs w:val="32"/>
          <w:shd w:val="clear" w:color="auto" w:fill="FFFFFF"/>
        </w:rPr>
      </w:pPr>
    </w:p>
    <w:p>
      <w:pPr>
        <w:spacing w:line="560" w:lineRule="exact"/>
        <w:jc w:val="left"/>
        <w:rPr>
          <w:rFonts w:ascii="仿宋_GB2312" w:hAnsi="仿宋_GB2312" w:eastAsia="仿宋_GB2312" w:cs="仿宋_GB2312"/>
          <w:kern w:val="0"/>
          <w:sz w:val="32"/>
          <w:szCs w:val="32"/>
          <w:shd w:val="clear" w:color="auto" w:fill="FFFFFF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  <w:shd w:val="clear" w:color="auto" w:fill="FFFFFF"/>
          <w:lang w:eastAsia="zh-CN"/>
        </w:rPr>
        <w:drawing>
          <wp:anchor distT="0" distB="0" distL="114935" distR="114935" simplePos="0" relativeHeight="251662336" behindDoc="0" locked="0" layoutInCell="1" allowOverlap="1">
            <wp:simplePos x="0" y="0"/>
            <wp:positionH relativeFrom="column">
              <wp:posOffset>365125</wp:posOffset>
            </wp:positionH>
            <wp:positionV relativeFrom="paragraph">
              <wp:posOffset>136525</wp:posOffset>
            </wp:positionV>
            <wp:extent cx="4573270" cy="3430905"/>
            <wp:effectExtent l="0" t="0" r="17780" b="17145"/>
            <wp:wrapSquare wrapText="bothSides"/>
            <wp:docPr id="5" name="图片 5" descr="到帮扶村开展疫情影响法律宣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到帮扶村开展疫情影响法律宣讲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573270" cy="3430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560" w:lineRule="exact"/>
        <w:jc w:val="left"/>
        <w:rPr>
          <w:rFonts w:hint="eastAsia" w:ascii="仿宋_GB2312" w:hAnsi="仿宋_GB2312" w:eastAsia="仿宋_GB2312" w:cs="仿宋_GB2312"/>
          <w:kern w:val="0"/>
          <w:sz w:val="32"/>
          <w:szCs w:val="32"/>
          <w:shd w:val="clear" w:color="auto" w:fill="FFFFFF"/>
          <w:lang w:eastAsia="zh-CN"/>
        </w:rPr>
      </w:pPr>
    </w:p>
    <w:p>
      <w:pPr>
        <w:spacing w:line="560" w:lineRule="exact"/>
        <w:jc w:val="left"/>
        <w:rPr>
          <w:rFonts w:ascii="仿宋_GB2312" w:hAnsi="仿宋_GB2312" w:eastAsia="仿宋_GB2312" w:cs="仿宋_GB2312"/>
          <w:kern w:val="0"/>
          <w:sz w:val="32"/>
          <w:szCs w:val="32"/>
          <w:shd w:val="clear" w:color="auto" w:fill="FFFFFF"/>
        </w:rPr>
      </w:pPr>
    </w:p>
    <w:p>
      <w:pPr>
        <w:spacing w:line="560" w:lineRule="exact"/>
        <w:jc w:val="left"/>
        <w:rPr>
          <w:rFonts w:ascii="仿宋_GB2312" w:hAnsi="仿宋_GB2312" w:eastAsia="仿宋_GB2312" w:cs="仿宋_GB2312"/>
          <w:kern w:val="0"/>
          <w:sz w:val="32"/>
          <w:szCs w:val="32"/>
          <w:shd w:val="clear" w:color="auto" w:fill="FFFFFF"/>
        </w:rPr>
      </w:pPr>
    </w:p>
    <w:p>
      <w:pPr>
        <w:spacing w:line="560" w:lineRule="exact"/>
        <w:jc w:val="left"/>
        <w:rPr>
          <w:rFonts w:ascii="仿宋_GB2312" w:hAnsi="仿宋_GB2312" w:eastAsia="仿宋_GB2312" w:cs="仿宋_GB2312"/>
          <w:kern w:val="0"/>
          <w:sz w:val="32"/>
          <w:szCs w:val="32"/>
          <w:shd w:val="clear" w:color="auto" w:fill="FFFFFF"/>
        </w:rPr>
      </w:pPr>
    </w:p>
    <w:p>
      <w:pPr>
        <w:spacing w:line="560" w:lineRule="exact"/>
        <w:jc w:val="left"/>
        <w:rPr>
          <w:rFonts w:ascii="仿宋_GB2312" w:hAnsi="仿宋_GB2312" w:eastAsia="仿宋_GB2312" w:cs="仿宋_GB2312"/>
          <w:kern w:val="0"/>
          <w:sz w:val="32"/>
          <w:szCs w:val="32"/>
          <w:shd w:val="clear" w:color="auto" w:fill="FFFFFF"/>
        </w:rPr>
      </w:pPr>
    </w:p>
    <w:p>
      <w:pPr>
        <w:spacing w:line="560" w:lineRule="exact"/>
        <w:jc w:val="left"/>
        <w:rPr>
          <w:rFonts w:ascii="仿宋_GB2312" w:hAnsi="仿宋_GB2312" w:eastAsia="仿宋_GB2312" w:cs="仿宋_GB2312"/>
          <w:kern w:val="0"/>
          <w:sz w:val="32"/>
          <w:szCs w:val="32"/>
          <w:shd w:val="clear" w:color="auto" w:fill="FFFFFF"/>
        </w:rPr>
      </w:pPr>
    </w:p>
    <w:p>
      <w:pPr>
        <w:spacing w:line="560" w:lineRule="exact"/>
        <w:jc w:val="left"/>
        <w:rPr>
          <w:rFonts w:ascii="仿宋_GB2312" w:hAnsi="仿宋_GB2312" w:eastAsia="仿宋_GB2312" w:cs="仿宋_GB2312"/>
          <w:kern w:val="0"/>
          <w:sz w:val="32"/>
          <w:szCs w:val="32"/>
          <w:shd w:val="clear" w:color="auto" w:fill="FFFFFF"/>
        </w:rPr>
      </w:pPr>
    </w:p>
    <w:p>
      <w:pPr>
        <w:spacing w:line="560" w:lineRule="exact"/>
        <w:jc w:val="left"/>
        <w:rPr>
          <w:rFonts w:ascii="仿宋_GB2312" w:hAnsi="仿宋_GB2312" w:eastAsia="仿宋_GB2312" w:cs="仿宋_GB2312"/>
          <w:kern w:val="0"/>
          <w:sz w:val="32"/>
          <w:szCs w:val="32"/>
          <w:shd w:val="clear" w:color="auto" w:fill="FFFFFF"/>
        </w:rPr>
      </w:pPr>
    </w:p>
    <w:p>
      <w:pPr>
        <w:spacing w:line="560" w:lineRule="exact"/>
        <w:jc w:val="left"/>
        <w:rPr>
          <w:rFonts w:ascii="仿宋_GB2312" w:hAnsi="仿宋_GB2312" w:eastAsia="仿宋_GB2312" w:cs="仿宋_GB2312"/>
          <w:kern w:val="0"/>
          <w:sz w:val="32"/>
          <w:szCs w:val="32"/>
          <w:shd w:val="clear" w:color="auto" w:fill="FFFFFF"/>
        </w:rPr>
      </w:pPr>
    </w:p>
    <w:p>
      <w:pPr>
        <w:spacing w:line="560" w:lineRule="exact"/>
        <w:jc w:val="left"/>
        <w:rPr>
          <w:rFonts w:ascii="仿宋_GB2312" w:hAnsi="仿宋_GB2312" w:eastAsia="仿宋_GB2312" w:cs="仿宋_GB2312"/>
          <w:kern w:val="0"/>
          <w:sz w:val="32"/>
          <w:szCs w:val="32"/>
          <w:shd w:val="clear" w:color="auto" w:fill="FFFFFF"/>
        </w:rPr>
      </w:pPr>
    </w:p>
    <w:p>
      <w:pPr>
        <w:spacing w:line="560" w:lineRule="exact"/>
        <w:jc w:val="left"/>
        <w:rPr>
          <w:rFonts w:hint="eastAsia" w:ascii="仿宋_GB2312" w:hAnsi="仿宋_GB2312" w:eastAsia="仿宋_GB2312" w:cs="仿宋_GB2312"/>
          <w:kern w:val="0"/>
          <w:sz w:val="32"/>
          <w:szCs w:val="32"/>
          <w:shd w:val="clear" w:color="auto" w:fill="FFFFFF"/>
          <w:lang w:eastAsia="zh-CN"/>
        </w:rPr>
      </w:pPr>
      <w:bookmarkStart w:id="0" w:name="_GoBack"/>
      <w:r>
        <w:rPr>
          <w:rFonts w:hint="eastAsia" w:ascii="仿宋_GB2312" w:hAnsi="仿宋_GB2312" w:eastAsia="仿宋_GB2312" w:cs="仿宋_GB2312"/>
          <w:kern w:val="0"/>
          <w:sz w:val="32"/>
          <w:szCs w:val="32"/>
          <w:shd w:val="clear" w:color="auto" w:fill="FFFFFF"/>
          <w:lang w:eastAsia="zh-CN"/>
        </w:rPr>
        <w:drawing>
          <wp:anchor distT="0" distB="0" distL="114935" distR="114935" simplePos="0" relativeHeight="251663360" behindDoc="0" locked="0" layoutInCell="1" allowOverlap="1">
            <wp:simplePos x="0" y="0"/>
            <wp:positionH relativeFrom="column">
              <wp:posOffset>381000</wp:posOffset>
            </wp:positionH>
            <wp:positionV relativeFrom="paragraph">
              <wp:posOffset>270510</wp:posOffset>
            </wp:positionV>
            <wp:extent cx="4610100" cy="3094355"/>
            <wp:effectExtent l="0" t="0" r="0" b="10795"/>
            <wp:wrapSquare wrapText="bothSides"/>
            <wp:docPr id="6" name="图片 6" descr="开展仲裁工作座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开展仲裁工作座谈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3094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sectPr>
      <w:footerReference r:id="rId3" w:type="default"/>
      <w:pgSz w:w="11906" w:h="16838"/>
      <w:pgMar w:top="1985" w:right="1701" w:bottom="1701" w:left="1701" w:header="851" w:footer="1418" w:gutter="0"/>
      <w:pgNumType w:fmt="numberInDash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方正小标宋简体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Helvetica">
    <w:altName w:val="Arial"/>
    <w:panose1 w:val="020B0604020202020204"/>
    <w:charset w:val="00"/>
    <w:family w:val="swiss"/>
    <w:pitch w:val="default"/>
    <w:sig w:usb0="00000000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7063299"/>
    </w:sdtPr>
    <w:sdtEndPr>
      <w:rPr>
        <w:rFonts w:asciiTheme="majorEastAsia" w:hAnsiTheme="majorEastAsia" w:eastAsiaTheme="majorEastAsia"/>
        <w:sz w:val="28"/>
        <w:szCs w:val="28"/>
      </w:rPr>
    </w:sdtEndPr>
    <w:sdtContent>
      <w:p>
        <w:pPr>
          <w:pStyle w:val="3"/>
          <w:jc w:val="center"/>
          <w:rPr>
            <w:rFonts w:asciiTheme="majorEastAsia" w:hAnsiTheme="majorEastAsia" w:eastAsiaTheme="majorEastAsia"/>
            <w:sz w:val="28"/>
            <w:szCs w:val="28"/>
          </w:rPr>
        </w:pPr>
        <w:r>
          <w:rPr>
            <w:rFonts w:asciiTheme="majorEastAsia" w:hAnsiTheme="majorEastAsia" w:eastAsiaTheme="majorEastAsia"/>
            <w:sz w:val="24"/>
            <w:szCs w:val="24"/>
          </w:rPr>
          <w:fldChar w:fldCharType="begin"/>
        </w:r>
        <w:r>
          <w:rPr>
            <w:rFonts w:asciiTheme="majorEastAsia" w:hAnsiTheme="majorEastAsia" w:eastAsiaTheme="majorEastAsia"/>
            <w:sz w:val="24"/>
            <w:szCs w:val="24"/>
          </w:rPr>
          <w:instrText xml:space="preserve"> PAGE   \* MERGEFORMAT </w:instrText>
        </w:r>
        <w:r>
          <w:rPr>
            <w:rFonts w:asciiTheme="majorEastAsia" w:hAnsiTheme="majorEastAsia" w:eastAsiaTheme="majorEastAsia"/>
            <w:sz w:val="24"/>
            <w:szCs w:val="24"/>
          </w:rPr>
          <w:fldChar w:fldCharType="separate"/>
        </w:r>
        <w:r>
          <w:rPr>
            <w:rFonts w:asciiTheme="majorEastAsia" w:hAnsiTheme="majorEastAsia" w:eastAsiaTheme="majorEastAsia"/>
            <w:sz w:val="24"/>
            <w:szCs w:val="24"/>
            <w:lang w:val="zh-CN"/>
          </w:rPr>
          <w:t>-</w:t>
        </w:r>
        <w:r>
          <w:rPr>
            <w:rFonts w:asciiTheme="majorEastAsia" w:hAnsiTheme="majorEastAsia" w:eastAsiaTheme="majorEastAsia"/>
            <w:sz w:val="24"/>
            <w:szCs w:val="24"/>
          </w:rPr>
          <w:t xml:space="preserve"> 5 -</w:t>
        </w:r>
        <w:r>
          <w:rPr>
            <w:rFonts w:asciiTheme="majorEastAsia" w:hAnsiTheme="majorEastAsia" w:eastAsiaTheme="majorEastAsia"/>
            <w:sz w:val="24"/>
            <w:szCs w:val="24"/>
          </w:rPr>
          <w:fldChar w:fldCharType="end"/>
        </w:r>
      </w:p>
    </w:sdtContent>
  </w:sdt>
  <w:p>
    <w:pPr>
      <w:pStyle w:val="3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C6C46D32"/>
    <w:multiLevelType w:val="singleLevel"/>
    <w:tmpl w:val="C6C46D32"/>
    <w:lvl w:ilvl="0" w:tentative="0">
      <w:start w:val="8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4B05C7"/>
    <w:rsid w:val="00001F03"/>
    <w:rsid w:val="00036C94"/>
    <w:rsid w:val="000408B2"/>
    <w:rsid w:val="0004588C"/>
    <w:rsid w:val="0006073C"/>
    <w:rsid w:val="00066443"/>
    <w:rsid w:val="000774F2"/>
    <w:rsid w:val="00086D47"/>
    <w:rsid w:val="000904BC"/>
    <w:rsid w:val="000B7BB4"/>
    <w:rsid w:val="000C53B8"/>
    <w:rsid w:val="00127737"/>
    <w:rsid w:val="00160165"/>
    <w:rsid w:val="0017071E"/>
    <w:rsid w:val="00185FE1"/>
    <w:rsid w:val="001A34F1"/>
    <w:rsid w:val="001A7388"/>
    <w:rsid w:val="001B6B32"/>
    <w:rsid w:val="001D772E"/>
    <w:rsid w:val="001E4D99"/>
    <w:rsid w:val="0026176F"/>
    <w:rsid w:val="00262220"/>
    <w:rsid w:val="00292515"/>
    <w:rsid w:val="002A757F"/>
    <w:rsid w:val="002D3DC6"/>
    <w:rsid w:val="003122C1"/>
    <w:rsid w:val="003363F3"/>
    <w:rsid w:val="0038685F"/>
    <w:rsid w:val="0038763A"/>
    <w:rsid w:val="003A26D7"/>
    <w:rsid w:val="003A3895"/>
    <w:rsid w:val="003B05CF"/>
    <w:rsid w:val="003E4794"/>
    <w:rsid w:val="003F27EF"/>
    <w:rsid w:val="00406344"/>
    <w:rsid w:val="00432CF2"/>
    <w:rsid w:val="0046136A"/>
    <w:rsid w:val="0046473F"/>
    <w:rsid w:val="004A2533"/>
    <w:rsid w:val="004B05C7"/>
    <w:rsid w:val="004B7C99"/>
    <w:rsid w:val="004D758C"/>
    <w:rsid w:val="004E5848"/>
    <w:rsid w:val="004F7474"/>
    <w:rsid w:val="00503B75"/>
    <w:rsid w:val="00510EE1"/>
    <w:rsid w:val="0054794C"/>
    <w:rsid w:val="005724B5"/>
    <w:rsid w:val="005755A5"/>
    <w:rsid w:val="0058079D"/>
    <w:rsid w:val="00581D55"/>
    <w:rsid w:val="005847C2"/>
    <w:rsid w:val="005A4E30"/>
    <w:rsid w:val="005B2A96"/>
    <w:rsid w:val="005C33D2"/>
    <w:rsid w:val="005C41B0"/>
    <w:rsid w:val="005E2906"/>
    <w:rsid w:val="005F2A34"/>
    <w:rsid w:val="00600188"/>
    <w:rsid w:val="006142E6"/>
    <w:rsid w:val="0062208C"/>
    <w:rsid w:val="00624266"/>
    <w:rsid w:val="0063641E"/>
    <w:rsid w:val="006925C8"/>
    <w:rsid w:val="00692A83"/>
    <w:rsid w:val="006A3F01"/>
    <w:rsid w:val="006C0C8E"/>
    <w:rsid w:val="00703832"/>
    <w:rsid w:val="0072218D"/>
    <w:rsid w:val="00737DE7"/>
    <w:rsid w:val="00755F05"/>
    <w:rsid w:val="00760012"/>
    <w:rsid w:val="00794F1D"/>
    <w:rsid w:val="007F1FE1"/>
    <w:rsid w:val="007F4640"/>
    <w:rsid w:val="007F7CD5"/>
    <w:rsid w:val="008077CF"/>
    <w:rsid w:val="00892226"/>
    <w:rsid w:val="008A2C2C"/>
    <w:rsid w:val="008F4739"/>
    <w:rsid w:val="009141FA"/>
    <w:rsid w:val="00923D3C"/>
    <w:rsid w:val="009923D1"/>
    <w:rsid w:val="0099613A"/>
    <w:rsid w:val="00A17EE8"/>
    <w:rsid w:val="00A9346B"/>
    <w:rsid w:val="00A97893"/>
    <w:rsid w:val="00AB435E"/>
    <w:rsid w:val="00AC05A4"/>
    <w:rsid w:val="00AC6979"/>
    <w:rsid w:val="00AE1E81"/>
    <w:rsid w:val="00AE2540"/>
    <w:rsid w:val="00AF34DE"/>
    <w:rsid w:val="00B01AC3"/>
    <w:rsid w:val="00B22E17"/>
    <w:rsid w:val="00B258AD"/>
    <w:rsid w:val="00B37611"/>
    <w:rsid w:val="00B74D9E"/>
    <w:rsid w:val="00B7740F"/>
    <w:rsid w:val="00B90D97"/>
    <w:rsid w:val="00BC4794"/>
    <w:rsid w:val="00BC6657"/>
    <w:rsid w:val="00BD027E"/>
    <w:rsid w:val="00BE0659"/>
    <w:rsid w:val="00C33244"/>
    <w:rsid w:val="00C54B92"/>
    <w:rsid w:val="00C61B43"/>
    <w:rsid w:val="00C672AA"/>
    <w:rsid w:val="00C72597"/>
    <w:rsid w:val="00C73FD3"/>
    <w:rsid w:val="00C97287"/>
    <w:rsid w:val="00CA15D9"/>
    <w:rsid w:val="00CD5BAB"/>
    <w:rsid w:val="00CE142E"/>
    <w:rsid w:val="00CF00DB"/>
    <w:rsid w:val="00D177CE"/>
    <w:rsid w:val="00D509DB"/>
    <w:rsid w:val="00D65A53"/>
    <w:rsid w:val="00D923EA"/>
    <w:rsid w:val="00D96099"/>
    <w:rsid w:val="00DA245A"/>
    <w:rsid w:val="00DA4579"/>
    <w:rsid w:val="00DC1FDE"/>
    <w:rsid w:val="00DC4950"/>
    <w:rsid w:val="00DD61AD"/>
    <w:rsid w:val="00DF0A7A"/>
    <w:rsid w:val="00E07541"/>
    <w:rsid w:val="00E2344A"/>
    <w:rsid w:val="00E320F9"/>
    <w:rsid w:val="00E33A7B"/>
    <w:rsid w:val="00E42D4E"/>
    <w:rsid w:val="00E54718"/>
    <w:rsid w:val="00E627EA"/>
    <w:rsid w:val="00E71A87"/>
    <w:rsid w:val="00E81D9B"/>
    <w:rsid w:val="00E91075"/>
    <w:rsid w:val="00E91B59"/>
    <w:rsid w:val="00EA1791"/>
    <w:rsid w:val="00F21D9F"/>
    <w:rsid w:val="00F34DEA"/>
    <w:rsid w:val="00F51CF3"/>
    <w:rsid w:val="00F9386F"/>
    <w:rsid w:val="00FA02A6"/>
    <w:rsid w:val="00FA41B9"/>
    <w:rsid w:val="00FD4E5A"/>
    <w:rsid w:val="00FD53CB"/>
    <w:rsid w:val="01AC5812"/>
    <w:rsid w:val="06363DDC"/>
    <w:rsid w:val="097D368A"/>
    <w:rsid w:val="0AC70579"/>
    <w:rsid w:val="0C445CF4"/>
    <w:rsid w:val="0E206B58"/>
    <w:rsid w:val="0E3E1BED"/>
    <w:rsid w:val="0F8155BF"/>
    <w:rsid w:val="100273F4"/>
    <w:rsid w:val="12A20451"/>
    <w:rsid w:val="175D7BDD"/>
    <w:rsid w:val="19464131"/>
    <w:rsid w:val="19E2013E"/>
    <w:rsid w:val="1AB91C86"/>
    <w:rsid w:val="22125642"/>
    <w:rsid w:val="282E04A9"/>
    <w:rsid w:val="2D3A5C58"/>
    <w:rsid w:val="2D836424"/>
    <w:rsid w:val="2EF759D2"/>
    <w:rsid w:val="2F952867"/>
    <w:rsid w:val="2FF57F0C"/>
    <w:rsid w:val="315C194C"/>
    <w:rsid w:val="33801E3C"/>
    <w:rsid w:val="34047F4A"/>
    <w:rsid w:val="34AE780C"/>
    <w:rsid w:val="378C4E4B"/>
    <w:rsid w:val="37E525DC"/>
    <w:rsid w:val="3A82698C"/>
    <w:rsid w:val="44326C5E"/>
    <w:rsid w:val="45D137E1"/>
    <w:rsid w:val="467C45EF"/>
    <w:rsid w:val="48BB2DD3"/>
    <w:rsid w:val="49C2545F"/>
    <w:rsid w:val="51B320B2"/>
    <w:rsid w:val="53233D7F"/>
    <w:rsid w:val="57634082"/>
    <w:rsid w:val="59F04A41"/>
    <w:rsid w:val="5A751AE6"/>
    <w:rsid w:val="5AD01BEB"/>
    <w:rsid w:val="5B942A6C"/>
    <w:rsid w:val="5BDA64AF"/>
    <w:rsid w:val="5BFE01B1"/>
    <w:rsid w:val="5C135A67"/>
    <w:rsid w:val="5C7B2CB7"/>
    <w:rsid w:val="5E1B23F9"/>
    <w:rsid w:val="60970F6F"/>
    <w:rsid w:val="61CF47E6"/>
    <w:rsid w:val="64DD6085"/>
    <w:rsid w:val="65FB33EF"/>
    <w:rsid w:val="68B64C79"/>
    <w:rsid w:val="68BB65B9"/>
    <w:rsid w:val="69081058"/>
    <w:rsid w:val="6E1E75B4"/>
    <w:rsid w:val="6F1956B0"/>
    <w:rsid w:val="74B2546A"/>
    <w:rsid w:val="762C4818"/>
    <w:rsid w:val="771F51AC"/>
    <w:rsid w:val="7DAC1E8D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Calibri" w:hAnsi="Calibri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9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8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character" w:customStyle="1" w:styleId="8">
    <w:name w:val="页眉 Char"/>
    <w:basedOn w:val="7"/>
    <w:link w:val="4"/>
    <w:semiHidden/>
    <w:qFormat/>
    <w:uiPriority w:val="99"/>
    <w:rPr>
      <w:sz w:val="18"/>
      <w:szCs w:val="18"/>
    </w:rPr>
  </w:style>
  <w:style w:type="character" w:customStyle="1" w:styleId="9">
    <w:name w:val="页脚 Char"/>
    <w:basedOn w:val="7"/>
    <w:link w:val="3"/>
    <w:qFormat/>
    <w:uiPriority w:val="99"/>
    <w:rPr>
      <w:sz w:val="18"/>
      <w:szCs w:val="18"/>
    </w:rPr>
  </w:style>
  <w:style w:type="paragraph" w:styleId="10">
    <w:name w:val="List Paragraph"/>
    <w:basedOn w:val="1"/>
    <w:qFormat/>
    <w:uiPriority w:val="34"/>
    <w:pPr>
      <w:ind w:firstLine="420" w:firstLineChars="200"/>
    </w:pPr>
  </w:style>
  <w:style w:type="character" w:customStyle="1" w:styleId="11">
    <w:name w:val="批注框文本 Char"/>
    <w:basedOn w:val="7"/>
    <w:link w:val="2"/>
    <w:semiHidden/>
    <w:qFormat/>
    <w:uiPriority w:val="99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numbering" Target="numbering.xml"/><Relationship Id="rId11" Type="http://schemas.openxmlformats.org/officeDocument/2006/relationships/customXml" Target="../customXml/item1.xml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微软中国</Company>
  <Pages>6</Pages>
  <Words>417</Words>
  <Characters>2377</Characters>
  <Lines>19</Lines>
  <Paragraphs>5</Paragraphs>
  <TotalTime>1</TotalTime>
  <ScaleCrop>false</ScaleCrop>
  <LinksUpToDate>false</LinksUpToDate>
  <CharactersWithSpaces>2789</CharactersWithSpaces>
  <Application>WPS Office_11.1.0.9739_F1E327BC-269C-435d-A152-05C5408002CA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2018-12-07T08:35:00Z</dcterms:created>
  <dc:creator>微软用户</dc:creator>
  <cp:lastModifiedBy>涧波叮咚梧桐俊秀</cp:lastModifiedBy>
  <dcterms:modified xsi:type="dcterms:W3CDTF">2020-07-08T02:34:02Z</dcterms:modified>
  <cp:revision>53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2052-11.1.0.9739</vt:lpwstr>
  </property>
</Properties>
</file>